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7C0D1">
      <w:pPr>
        <w:numPr>
          <w:ilvl w:val="0"/>
          <w:numId w:val="1"/>
        </w:numPr>
        <w:spacing w:line="360" w:lineRule="auto"/>
        <w:jc w:val="center"/>
        <w:outlineLvl w:val="0"/>
        <w:rPr>
          <w:rFonts w:ascii="宋体" w:hAnsi="宋体" w:cs="宋体"/>
          <w:b/>
          <w:sz w:val="44"/>
          <w:szCs w:val="21"/>
          <w:highlight w:val="none"/>
        </w:rPr>
      </w:pPr>
      <w:r>
        <w:rPr>
          <w:rFonts w:hint="eastAsia" w:ascii="宋体" w:hAnsi="宋体" w:cs="宋体"/>
          <w:b/>
          <w:sz w:val="44"/>
          <w:szCs w:val="21"/>
          <w:highlight w:val="none"/>
        </w:rPr>
        <w:t xml:space="preserve"> </w:t>
      </w:r>
      <w:bookmarkStart w:id="0" w:name="_Toc10588"/>
      <w:r>
        <w:rPr>
          <w:rFonts w:hint="eastAsia" w:ascii="宋体" w:hAnsi="宋体" w:cs="宋体"/>
          <w:b/>
          <w:sz w:val="44"/>
          <w:szCs w:val="21"/>
          <w:highlight w:val="none"/>
        </w:rPr>
        <w:t>评标方法与评标标准</w:t>
      </w:r>
      <w:bookmarkEnd w:id="0"/>
    </w:p>
    <w:p w14:paraId="1DA3FD80">
      <w:pPr>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一、本项目采用</w:t>
      </w:r>
      <w:r>
        <w:rPr>
          <w:rFonts w:hint="eastAsia" w:asciiTheme="minorEastAsia" w:hAnsiTheme="minorEastAsia" w:eastAsiaTheme="minorEastAsia" w:cstheme="minorEastAsia"/>
          <w:b/>
          <w:bCs/>
          <w:sz w:val="24"/>
          <w:szCs w:val="24"/>
          <w:highlight w:val="none"/>
        </w:rPr>
        <w:t>综合评分法</w:t>
      </w:r>
      <w:r>
        <w:rPr>
          <w:rFonts w:hint="eastAsia" w:asciiTheme="minorEastAsia" w:hAnsiTheme="minorEastAsia" w:eastAsiaTheme="minorEastAsia" w:cstheme="minorEastAsia"/>
          <w:sz w:val="24"/>
          <w:szCs w:val="24"/>
          <w:highlight w:val="none"/>
        </w:rPr>
        <w:t>，由评标委员会对所有有效投标进行详细的评分，采用百分制计分方法。评标时，评标</w:t>
      </w:r>
      <w:bookmarkStart w:id="1" w:name="_GoBack"/>
      <w:bookmarkEnd w:id="1"/>
      <w:r>
        <w:rPr>
          <w:rFonts w:hint="eastAsia" w:asciiTheme="minorEastAsia" w:hAnsiTheme="minorEastAsia" w:eastAsiaTheme="minorEastAsia" w:cstheme="minorEastAsia"/>
          <w:sz w:val="24"/>
          <w:szCs w:val="24"/>
          <w:highlight w:val="none"/>
        </w:rPr>
        <w:t>委员会各成员遵循公平、公正、择优原则，独立对每个有效投标人的标书进行评价、打分，各个投标人的评审后最终得分为汇总计算所有评委所评定分值的平均值（保留2位小数）。</w:t>
      </w:r>
    </w:p>
    <w:p w14:paraId="65267C23">
      <w:pPr>
        <w:spacing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评标结果按评审后得分由高到低顺序排列。得分相同的，按投标报价（开水）由低到高顺序排列。</w:t>
      </w:r>
    </w:p>
    <w:p w14:paraId="24E394F0">
      <w:pPr>
        <w:spacing w:line="4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二、具体评分标准如下：</w:t>
      </w:r>
    </w:p>
    <w:tbl>
      <w:tblPr>
        <w:tblStyle w:val="3"/>
        <w:tblW w:w="4996" w:type="pct"/>
        <w:tblInd w:w="0" w:type="dxa"/>
        <w:tblLayout w:type="autofit"/>
        <w:tblCellMar>
          <w:top w:w="0" w:type="dxa"/>
          <w:left w:w="108" w:type="dxa"/>
          <w:bottom w:w="0" w:type="dxa"/>
          <w:right w:w="108" w:type="dxa"/>
        </w:tblCellMar>
      </w:tblPr>
      <w:tblGrid>
        <w:gridCol w:w="735"/>
        <w:gridCol w:w="1150"/>
        <w:gridCol w:w="678"/>
        <w:gridCol w:w="5952"/>
      </w:tblGrid>
      <w:tr w14:paraId="1925CED6">
        <w:tblPrEx>
          <w:tblCellMar>
            <w:top w:w="0" w:type="dxa"/>
            <w:left w:w="108" w:type="dxa"/>
            <w:bottom w:w="0" w:type="dxa"/>
            <w:right w:w="108" w:type="dxa"/>
          </w:tblCellMar>
        </w:tblPrEx>
        <w:trPr>
          <w:trHeight w:val="387" w:hRule="atLeast"/>
        </w:trPr>
        <w:tc>
          <w:tcPr>
            <w:tcW w:w="432" w:type="pct"/>
            <w:tcBorders>
              <w:top w:val="single" w:color="auto" w:sz="4" w:space="0"/>
              <w:left w:val="single" w:color="auto" w:sz="4" w:space="0"/>
              <w:bottom w:val="single" w:color="auto" w:sz="4" w:space="0"/>
              <w:right w:val="single" w:color="auto" w:sz="4" w:space="0"/>
            </w:tcBorders>
            <w:vAlign w:val="center"/>
          </w:tcPr>
          <w:p w14:paraId="6025B1F8">
            <w:pPr>
              <w:widowControl/>
              <w:spacing w:line="340" w:lineRule="exact"/>
              <w:jc w:val="center"/>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序号</w:t>
            </w:r>
          </w:p>
        </w:tc>
        <w:tc>
          <w:tcPr>
            <w:tcW w:w="675" w:type="pct"/>
            <w:tcBorders>
              <w:top w:val="single" w:color="auto" w:sz="4" w:space="0"/>
              <w:left w:val="single" w:color="auto" w:sz="4" w:space="0"/>
              <w:bottom w:val="single" w:color="auto" w:sz="4" w:space="0"/>
              <w:right w:val="single" w:color="auto" w:sz="4" w:space="0"/>
            </w:tcBorders>
            <w:vAlign w:val="center"/>
          </w:tcPr>
          <w:p w14:paraId="205F9733">
            <w:pPr>
              <w:widowControl/>
              <w:spacing w:line="340" w:lineRule="exact"/>
              <w:jc w:val="center"/>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评价因素</w:t>
            </w:r>
          </w:p>
        </w:tc>
        <w:tc>
          <w:tcPr>
            <w:tcW w:w="398" w:type="pct"/>
            <w:tcBorders>
              <w:top w:val="single" w:color="auto" w:sz="4" w:space="0"/>
              <w:left w:val="nil"/>
              <w:bottom w:val="single" w:color="auto" w:sz="4" w:space="0"/>
              <w:right w:val="single" w:color="auto" w:sz="4" w:space="0"/>
            </w:tcBorders>
            <w:vAlign w:val="center"/>
          </w:tcPr>
          <w:p w14:paraId="38E0E88F">
            <w:pPr>
              <w:widowControl/>
              <w:spacing w:line="340" w:lineRule="exact"/>
              <w:jc w:val="center"/>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分值</w:t>
            </w:r>
          </w:p>
        </w:tc>
        <w:tc>
          <w:tcPr>
            <w:tcW w:w="3494" w:type="pct"/>
            <w:tcBorders>
              <w:top w:val="single" w:color="auto" w:sz="4" w:space="0"/>
              <w:left w:val="nil"/>
              <w:bottom w:val="single" w:color="auto" w:sz="4" w:space="0"/>
              <w:right w:val="single" w:color="auto" w:sz="4" w:space="0"/>
            </w:tcBorders>
            <w:vAlign w:val="center"/>
          </w:tcPr>
          <w:p w14:paraId="632DCC6C">
            <w:pPr>
              <w:widowControl/>
              <w:spacing w:line="340" w:lineRule="exact"/>
              <w:jc w:val="center"/>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评分标准</w:t>
            </w:r>
          </w:p>
        </w:tc>
      </w:tr>
      <w:tr w14:paraId="223C6178">
        <w:tblPrEx>
          <w:tblCellMar>
            <w:top w:w="0" w:type="dxa"/>
            <w:left w:w="108" w:type="dxa"/>
            <w:bottom w:w="0" w:type="dxa"/>
            <w:right w:w="108" w:type="dxa"/>
          </w:tblCellMar>
        </w:tblPrEx>
        <w:trPr>
          <w:trHeight w:val="42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5D02CD">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kern w:val="0"/>
                <w:sz w:val="24"/>
                <w:szCs w:val="24"/>
                <w:highlight w:val="none"/>
              </w:rPr>
              <w:t>价格分（35分）</w:t>
            </w:r>
          </w:p>
        </w:tc>
      </w:tr>
      <w:tr w14:paraId="4593A0E7">
        <w:tblPrEx>
          <w:tblCellMar>
            <w:top w:w="0" w:type="dxa"/>
            <w:left w:w="108" w:type="dxa"/>
            <w:bottom w:w="0" w:type="dxa"/>
            <w:right w:w="108" w:type="dxa"/>
          </w:tblCellMar>
        </w:tblPrEx>
        <w:trPr>
          <w:trHeight w:val="420" w:hRule="atLeast"/>
        </w:trPr>
        <w:tc>
          <w:tcPr>
            <w:tcW w:w="432" w:type="pct"/>
            <w:tcBorders>
              <w:top w:val="single" w:color="auto" w:sz="4" w:space="0"/>
              <w:left w:val="single" w:color="auto" w:sz="4" w:space="0"/>
              <w:bottom w:val="single" w:color="auto" w:sz="4" w:space="0"/>
              <w:right w:val="single" w:color="auto" w:sz="4" w:space="0"/>
            </w:tcBorders>
            <w:vAlign w:val="center"/>
          </w:tcPr>
          <w:p w14:paraId="10D13B9B">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675" w:type="pct"/>
            <w:tcBorders>
              <w:top w:val="single" w:color="auto" w:sz="4" w:space="0"/>
              <w:left w:val="single" w:color="auto" w:sz="4" w:space="0"/>
              <w:bottom w:val="single" w:color="auto" w:sz="4" w:space="0"/>
              <w:right w:val="single" w:color="auto" w:sz="4" w:space="0"/>
            </w:tcBorders>
            <w:vAlign w:val="center"/>
          </w:tcPr>
          <w:p w14:paraId="7D85D59A">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价 格</w:t>
            </w:r>
          </w:p>
        </w:tc>
        <w:tc>
          <w:tcPr>
            <w:tcW w:w="398" w:type="pct"/>
            <w:tcBorders>
              <w:top w:val="single" w:color="auto" w:sz="4" w:space="0"/>
              <w:left w:val="single" w:color="auto" w:sz="4" w:space="0"/>
              <w:bottom w:val="single" w:color="auto" w:sz="4" w:space="0"/>
              <w:right w:val="single" w:color="auto" w:sz="4" w:space="0"/>
            </w:tcBorders>
            <w:vAlign w:val="center"/>
          </w:tcPr>
          <w:p w14:paraId="0CD24271">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35</w:t>
            </w:r>
          </w:p>
        </w:tc>
        <w:tc>
          <w:tcPr>
            <w:tcW w:w="3494" w:type="pct"/>
            <w:tcBorders>
              <w:top w:val="single" w:color="auto" w:sz="4" w:space="0"/>
              <w:left w:val="single" w:color="auto" w:sz="4" w:space="0"/>
              <w:bottom w:val="single" w:color="auto" w:sz="4" w:space="0"/>
              <w:right w:val="single" w:color="auto" w:sz="4" w:space="0"/>
            </w:tcBorders>
            <w:vAlign w:val="center"/>
          </w:tcPr>
          <w:p w14:paraId="1F790023">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1、最终得分：A+B </w:t>
            </w:r>
          </w:p>
          <w:p w14:paraId="00070779">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2、A部分（热水报价，限价0.20元/升，报价最小单位为0.01元）。价格分计算方式：以满足招标文件要求的最低报价为评审基准价，报价得分=评审基准价/投标报价×25，保留两位有效小数。</w:t>
            </w:r>
          </w:p>
          <w:p w14:paraId="745421BE">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3、B部分（常温水报价，限价0.11元/升，报价最小单位为0.01元）。价格分计算方式：以满足招标文件要求的最低报价为评审基准价，报价得分=评审基准价/投标报价×10，保留两位有效小数。</w:t>
            </w:r>
          </w:p>
        </w:tc>
      </w:tr>
      <w:tr w14:paraId="7BD252F6">
        <w:tblPrEx>
          <w:tblCellMar>
            <w:top w:w="0" w:type="dxa"/>
            <w:left w:w="108" w:type="dxa"/>
            <w:bottom w:w="0" w:type="dxa"/>
            <w:right w:w="108" w:type="dxa"/>
          </w:tblCellMar>
        </w:tblPrEx>
        <w:trPr>
          <w:trHeight w:val="382"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5E22EE7">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kern w:val="0"/>
                <w:sz w:val="24"/>
                <w:szCs w:val="24"/>
                <w:highlight w:val="none"/>
              </w:rPr>
              <w:t>客观分（</w:t>
            </w:r>
            <w:r>
              <w:rPr>
                <w:rFonts w:hint="eastAsia" w:asciiTheme="minorEastAsia" w:hAnsiTheme="minorEastAsia" w:eastAsiaTheme="minorEastAsia" w:cstheme="minorEastAsia"/>
                <w:b/>
                <w:bCs/>
                <w:kern w:val="0"/>
                <w:sz w:val="24"/>
                <w:szCs w:val="24"/>
                <w:highlight w:val="none"/>
              </w:rPr>
              <w:t>3</w:t>
            </w:r>
            <w:r>
              <w:rPr>
                <w:rFonts w:hint="eastAsia" w:asciiTheme="minorEastAsia" w:hAnsiTheme="minorEastAsia" w:eastAsiaTheme="minorEastAsia" w:cstheme="minorEastAsia"/>
                <w:b/>
                <w:bCs/>
                <w:kern w:val="0"/>
                <w:sz w:val="24"/>
                <w:szCs w:val="24"/>
                <w:highlight w:val="none"/>
                <w:lang w:val="en-US" w:eastAsia="zh-CN"/>
              </w:rPr>
              <w:t>2</w:t>
            </w:r>
            <w:r>
              <w:rPr>
                <w:rFonts w:hint="eastAsia" w:asciiTheme="minorEastAsia" w:hAnsiTheme="minorEastAsia" w:eastAsiaTheme="minorEastAsia" w:cstheme="minorEastAsia"/>
                <w:b/>
                <w:bCs/>
                <w:kern w:val="0"/>
                <w:sz w:val="24"/>
                <w:szCs w:val="24"/>
                <w:highlight w:val="none"/>
              </w:rPr>
              <w:t>分）</w:t>
            </w:r>
          </w:p>
        </w:tc>
      </w:tr>
      <w:tr w14:paraId="074EA514">
        <w:tblPrEx>
          <w:tblCellMar>
            <w:top w:w="0" w:type="dxa"/>
            <w:left w:w="108" w:type="dxa"/>
            <w:bottom w:w="0" w:type="dxa"/>
            <w:right w:w="108" w:type="dxa"/>
          </w:tblCellMar>
        </w:tblPrEx>
        <w:trPr>
          <w:trHeight w:val="347" w:hRule="atLeast"/>
        </w:trPr>
        <w:tc>
          <w:tcPr>
            <w:tcW w:w="432" w:type="pct"/>
            <w:tcBorders>
              <w:top w:val="single" w:color="auto" w:sz="4" w:space="0"/>
              <w:left w:val="single" w:color="auto" w:sz="4" w:space="0"/>
              <w:bottom w:val="single" w:color="auto" w:sz="4" w:space="0"/>
              <w:right w:val="single" w:color="auto" w:sz="4" w:space="0"/>
            </w:tcBorders>
            <w:vAlign w:val="center"/>
          </w:tcPr>
          <w:p w14:paraId="7066EBDB">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2.1</w:t>
            </w:r>
          </w:p>
        </w:tc>
        <w:tc>
          <w:tcPr>
            <w:tcW w:w="675" w:type="pct"/>
            <w:tcBorders>
              <w:top w:val="single" w:color="auto" w:sz="4" w:space="0"/>
              <w:left w:val="single" w:color="auto" w:sz="4" w:space="0"/>
              <w:bottom w:val="single" w:color="auto" w:sz="4" w:space="0"/>
              <w:right w:val="single" w:color="auto" w:sz="4" w:space="0"/>
            </w:tcBorders>
            <w:vAlign w:val="center"/>
          </w:tcPr>
          <w:p w14:paraId="6FB0D2FD">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投标人业绩</w:t>
            </w:r>
          </w:p>
        </w:tc>
        <w:tc>
          <w:tcPr>
            <w:tcW w:w="398" w:type="pct"/>
            <w:tcBorders>
              <w:top w:val="single" w:color="auto" w:sz="4" w:space="0"/>
              <w:left w:val="nil"/>
              <w:bottom w:val="single" w:color="auto" w:sz="4" w:space="0"/>
              <w:right w:val="single" w:color="auto" w:sz="4" w:space="0"/>
            </w:tcBorders>
            <w:vAlign w:val="center"/>
          </w:tcPr>
          <w:p w14:paraId="7BFAC300">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20</w:t>
            </w:r>
          </w:p>
        </w:tc>
        <w:tc>
          <w:tcPr>
            <w:tcW w:w="3494" w:type="pct"/>
            <w:tcBorders>
              <w:top w:val="nil"/>
              <w:left w:val="nil"/>
              <w:bottom w:val="single" w:color="auto" w:sz="4" w:space="0"/>
              <w:right w:val="single" w:color="auto" w:sz="4" w:space="0"/>
            </w:tcBorders>
            <w:vAlign w:val="center"/>
          </w:tcPr>
          <w:p w14:paraId="4D084DAB">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投标人自2023年1月1日以来（以合同签订日期为准）同类型项目机关</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事业单位业绩的，每提供一个得5分，最高20分。</w:t>
            </w:r>
            <w:r>
              <w:rPr>
                <w:rFonts w:hint="eastAsia" w:asciiTheme="minorEastAsia" w:hAnsiTheme="minorEastAsia" w:eastAsiaTheme="minorEastAsia" w:cstheme="minorEastAsia"/>
                <w:b/>
                <w:bCs/>
                <w:sz w:val="24"/>
                <w:szCs w:val="24"/>
                <w:highlight w:val="none"/>
              </w:rPr>
              <w:t>同一单位业绩按1份计算。投标文件中提供合同复印件及合同期内任一天的网络收款等收款记录并加盖投标人公章。</w:t>
            </w:r>
            <w:r>
              <w:rPr>
                <w:rFonts w:hint="eastAsia" w:asciiTheme="minorEastAsia" w:hAnsiTheme="minorEastAsia" w:eastAsiaTheme="minorEastAsia" w:cstheme="minorEastAsia"/>
                <w:sz w:val="24"/>
                <w:szCs w:val="24"/>
                <w:highlight w:val="none"/>
              </w:rPr>
              <w:t xml:space="preserve"> </w:t>
            </w:r>
          </w:p>
        </w:tc>
      </w:tr>
      <w:tr w14:paraId="5D94CF37">
        <w:tblPrEx>
          <w:tblCellMar>
            <w:top w:w="0" w:type="dxa"/>
            <w:left w:w="108" w:type="dxa"/>
            <w:bottom w:w="0" w:type="dxa"/>
            <w:right w:w="108" w:type="dxa"/>
          </w:tblCellMar>
        </w:tblPrEx>
        <w:trPr>
          <w:trHeight w:val="1045" w:hRule="atLeast"/>
        </w:trPr>
        <w:tc>
          <w:tcPr>
            <w:tcW w:w="432" w:type="pct"/>
            <w:tcBorders>
              <w:top w:val="single" w:color="auto" w:sz="4" w:space="0"/>
              <w:left w:val="single" w:color="auto" w:sz="4" w:space="0"/>
              <w:bottom w:val="single" w:color="auto" w:sz="4" w:space="0"/>
              <w:right w:val="single" w:color="auto" w:sz="4" w:space="0"/>
            </w:tcBorders>
            <w:vAlign w:val="center"/>
          </w:tcPr>
          <w:p w14:paraId="406A8E72">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w:t>
            </w:r>
          </w:p>
        </w:tc>
        <w:tc>
          <w:tcPr>
            <w:tcW w:w="675" w:type="pct"/>
            <w:tcBorders>
              <w:top w:val="single" w:color="auto" w:sz="4" w:space="0"/>
              <w:left w:val="single" w:color="auto" w:sz="4" w:space="0"/>
              <w:bottom w:val="single" w:color="auto" w:sz="4" w:space="0"/>
              <w:right w:val="single" w:color="auto" w:sz="4" w:space="0"/>
            </w:tcBorders>
            <w:vAlign w:val="center"/>
          </w:tcPr>
          <w:p w14:paraId="6DF35F40">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体系认证</w:t>
            </w:r>
          </w:p>
        </w:tc>
        <w:tc>
          <w:tcPr>
            <w:tcW w:w="398" w:type="pct"/>
            <w:tcBorders>
              <w:top w:val="nil"/>
              <w:left w:val="nil"/>
              <w:bottom w:val="single" w:color="auto" w:sz="4" w:space="0"/>
              <w:right w:val="single" w:color="auto" w:sz="4" w:space="0"/>
            </w:tcBorders>
            <w:vAlign w:val="center"/>
          </w:tcPr>
          <w:p w14:paraId="0374C31A">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w:t>
            </w:r>
          </w:p>
        </w:tc>
        <w:tc>
          <w:tcPr>
            <w:tcW w:w="3494" w:type="pct"/>
            <w:tcBorders>
              <w:top w:val="nil"/>
              <w:left w:val="nil"/>
              <w:bottom w:val="single" w:color="auto" w:sz="4" w:space="0"/>
              <w:right w:val="single" w:color="auto" w:sz="4" w:space="0"/>
            </w:tcBorders>
            <w:vAlign w:val="center"/>
          </w:tcPr>
          <w:p w14:paraId="51C63051">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投标人具有有效期内的质量管理体系认证证书、环境管理体系认证证书、职业健康管理体系认证证书，每提供一项得2分，本项最高6分。</w:t>
            </w:r>
            <w:r>
              <w:rPr>
                <w:rFonts w:hint="eastAsia" w:asciiTheme="minorEastAsia" w:hAnsiTheme="minorEastAsia" w:eastAsiaTheme="minorEastAsia" w:cstheme="minorEastAsia"/>
                <w:b/>
                <w:bCs/>
                <w:kern w:val="0"/>
                <w:sz w:val="24"/>
                <w:szCs w:val="24"/>
                <w:highlight w:val="none"/>
                <w:lang w:bidi="ar"/>
              </w:rPr>
              <w:t>提供有效的证书复印件加盖投标人公章</w:t>
            </w:r>
            <w:r>
              <w:rPr>
                <w:rFonts w:hint="eastAsia" w:asciiTheme="minorEastAsia" w:hAnsiTheme="minorEastAsia" w:eastAsiaTheme="minorEastAsia" w:cstheme="minorEastAsia"/>
                <w:b/>
                <w:bCs/>
                <w:sz w:val="24"/>
                <w:szCs w:val="24"/>
                <w:highlight w:val="none"/>
              </w:rPr>
              <w:t>及国家市场监督管理总局-全国认证认可信息公共服务平台上查询结果的截图，证状态必须为“有效”。</w:t>
            </w:r>
            <w:r>
              <w:rPr>
                <w:rFonts w:hint="eastAsia" w:asciiTheme="minorEastAsia" w:hAnsiTheme="minorEastAsia" w:eastAsiaTheme="minorEastAsia" w:cstheme="minorEastAsia"/>
                <w:b/>
                <w:bCs/>
                <w:kern w:val="0"/>
                <w:sz w:val="24"/>
                <w:szCs w:val="24"/>
                <w:highlight w:val="none"/>
                <w:lang w:bidi="ar"/>
              </w:rPr>
              <w:t>（对于查询结果为“未查到符合条件的获证组织信息”或查询到状态为“失效”、“暂停”、“撤销”的，均属于认证无效，则不予认可。）</w:t>
            </w:r>
          </w:p>
        </w:tc>
      </w:tr>
      <w:tr w14:paraId="532694D3">
        <w:tblPrEx>
          <w:tblCellMar>
            <w:top w:w="0" w:type="dxa"/>
            <w:left w:w="108" w:type="dxa"/>
            <w:bottom w:w="0" w:type="dxa"/>
            <w:right w:w="108" w:type="dxa"/>
          </w:tblCellMar>
        </w:tblPrEx>
        <w:trPr>
          <w:trHeight w:val="578" w:hRule="atLeast"/>
        </w:trPr>
        <w:tc>
          <w:tcPr>
            <w:tcW w:w="432" w:type="pct"/>
            <w:tcBorders>
              <w:top w:val="single" w:color="auto" w:sz="4" w:space="0"/>
              <w:left w:val="single" w:color="auto" w:sz="4" w:space="0"/>
              <w:bottom w:val="single" w:color="auto" w:sz="4" w:space="0"/>
              <w:right w:val="single" w:color="auto" w:sz="4" w:space="0"/>
            </w:tcBorders>
            <w:vAlign w:val="center"/>
          </w:tcPr>
          <w:p w14:paraId="1C8BB5DD">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w:t>
            </w:r>
          </w:p>
        </w:tc>
        <w:tc>
          <w:tcPr>
            <w:tcW w:w="675" w:type="pct"/>
            <w:tcBorders>
              <w:top w:val="single" w:color="auto" w:sz="4" w:space="0"/>
              <w:left w:val="single" w:color="auto" w:sz="4" w:space="0"/>
              <w:bottom w:val="single" w:color="auto" w:sz="4" w:space="0"/>
              <w:right w:val="single" w:color="auto" w:sz="4" w:space="0"/>
            </w:tcBorders>
            <w:vAlign w:val="center"/>
          </w:tcPr>
          <w:p w14:paraId="3EEDB655">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所投产品性能及认证许可</w:t>
            </w:r>
          </w:p>
        </w:tc>
        <w:tc>
          <w:tcPr>
            <w:tcW w:w="398" w:type="pct"/>
            <w:tcBorders>
              <w:top w:val="single" w:color="auto" w:sz="4" w:space="0"/>
              <w:left w:val="nil"/>
              <w:bottom w:val="single" w:color="auto" w:sz="4" w:space="0"/>
              <w:right w:val="single" w:color="auto" w:sz="4" w:space="0"/>
            </w:tcBorders>
            <w:vAlign w:val="center"/>
          </w:tcPr>
          <w:p w14:paraId="345D7AE6">
            <w:pPr>
              <w:widowControl/>
              <w:spacing w:line="340" w:lineRule="exact"/>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6</w:t>
            </w:r>
          </w:p>
        </w:tc>
        <w:tc>
          <w:tcPr>
            <w:tcW w:w="3494" w:type="pct"/>
            <w:tcBorders>
              <w:top w:val="single" w:color="auto" w:sz="4" w:space="0"/>
              <w:left w:val="nil"/>
              <w:bottom w:val="single" w:color="auto" w:sz="4" w:space="0"/>
              <w:right w:val="single" w:color="auto" w:sz="4" w:space="0"/>
            </w:tcBorders>
            <w:vAlign w:val="center"/>
          </w:tcPr>
          <w:p w14:paraId="10438FC1">
            <w:pPr>
              <w:spacing w:line="34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投标人所投饮水机（与投标产品型号一致）：</w:t>
            </w:r>
          </w:p>
          <w:p w14:paraId="26C5292F">
            <w:pPr>
              <w:spacing w:line="3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（1）提供饮水机的产品检测报告（检测结果为合格）得3分；</w:t>
            </w:r>
            <w:r>
              <w:rPr>
                <w:rFonts w:hint="eastAsia" w:asciiTheme="minorEastAsia" w:hAnsiTheme="minorEastAsia" w:eastAsiaTheme="minorEastAsia" w:cstheme="minorEastAsia"/>
                <w:b/>
                <w:bCs/>
                <w:sz w:val="24"/>
                <w:szCs w:val="24"/>
                <w:highlight w:val="none"/>
              </w:rPr>
              <w:t>投标文件中提供完整有效的检测报告复印件并加盖投标人公章</w:t>
            </w:r>
            <w:r>
              <w:rPr>
                <w:rFonts w:hint="eastAsia" w:asciiTheme="minorEastAsia" w:hAnsiTheme="minorEastAsia" w:eastAsiaTheme="minorEastAsia" w:cstheme="minorEastAsia"/>
                <w:b/>
                <w:bCs/>
                <w:sz w:val="24"/>
                <w:szCs w:val="24"/>
                <w:highlight w:val="none"/>
                <w:lang w:eastAsia="zh-CN"/>
              </w:rPr>
              <w:t>。</w:t>
            </w:r>
          </w:p>
          <w:p w14:paraId="7576BB95">
            <w:pPr>
              <w:spacing w:line="3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（2）饮水机通过CQC中国产品质量认证证书，得</w:t>
            </w:r>
            <w:r>
              <w:rPr>
                <w:rFonts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b/>
                <w:bCs/>
                <w:sz w:val="24"/>
                <w:szCs w:val="24"/>
                <w:highlight w:val="none"/>
              </w:rPr>
              <w:t>投标文件中提供有效的证书复印件并加盖投标人公章</w:t>
            </w:r>
            <w:r>
              <w:rPr>
                <w:rFonts w:hint="eastAsia" w:asciiTheme="minorEastAsia" w:hAnsiTheme="minorEastAsia" w:eastAsiaTheme="minorEastAsia" w:cstheme="minorEastAsia"/>
                <w:b/>
                <w:bCs/>
                <w:sz w:val="24"/>
                <w:szCs w:val="24"/>
                <w:highlight w:val="none"/>
                <w:lang w:eastAsia="zh-CN"/>
              </w:rPr>
              <w:t>。</w:t>
            </w:r>
          </w:p>
          <w:p w14:paraId="1216B4E6">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备注：未按要求提供相关证明材料的不得分。</w:t>
            </w:r>
          </w:p>
        </w:tc>
      </w:tr>
      <w:tr w14:paraId="43120018">
        <w:tblPrEx>
          <w:tblCellMar>
            <w:top w:w="0" w:type="dxa"/>
            <w:left w:w="108" w:type="dxa"/>
            <w:bottom w:w="0" w:type="dxa"/>
            <w:right w:w="108" w:type="dxa"/>
          </w:tblCellMar>
        </w:tblPrEx>
        <w:trPr>
          <w:trHeight w:val="450" w:hRule="atLeast"/>
        </w:trPr>
        <w:tc>
          <w:tcPr>
            <w:tcW w:w="5000" w:type="pct"/>
            <w:gridSpan w:val="4"/>
            <w:tcBorders>
              <w:top w:val="single" w:color="auto" w:sz="4" w:space="0"/>
              <w:left w:val="single" w:color="auto" w:sz="4" w:space="0"/>
              <w:right w:val="single" w:color="auto" w:sz="4" w:space="0"/>
            </w:tcBorders>
            <w:vAlign w:val="center"/>
          </w:tcPr>
          <w:p w14:paraId="67914B82">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主观分（</w:t>
            </w: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分）</w:t>
            </w:r>
          </w:p>
        </w:tc>
      </w:tr>
      <w:tr w14:paraId="7BBA00F5">
        <w:tblPrEx>
          <w:tblCellMar>
            <w:top w:w="0" w:type="dxa"/>
            <w:left w:w="108" w:type="dxa"/>
            <w:bottom w:w="0" w:type="dxa"/>
            <w:right w:w="108" w:type="dxa"/>
          </w:tblCellMar>
        </w:tblPrEx>
        <w:trPr>
          <w:trHeight w:val="1920" w:hRule="atLeast"/>
        </w:trPr>
        <w:tc>
          <w:tcPr>
            <w:tcW w:w="432" w:type="pct"/>
            <w:tcBorders>
              <w:top w:val="single" w:color="auto" w:sz="4" w:space="0"/>
              <w:left w:val="single" w:color="auto" w:sz="4" w:space="0"/>
              <w:bottom w:val="single" w:color="auto" w:sz="4" w:space="0"/>
              <w:right w:val="single" w:color="auto" w:sz="4" w:space="0"/>
            </w:tcBorders>
            <w:vAlign w:val="center"/>
          </w:tcPr>
          <w:p w14:paraId="7E238B6B">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675" w:type="pct"/>
            <w:tcBorders>
              <w:top w:val="single" w:color="auto" w:sz="4" w:space="0"/>
              <w:left w:val="single" w:color="auto" w:sz="4" w:space="0"/>
              <w:bottom w:val="single" w:color="auto" w:sz="4" w:space="0"/>
              <w:right w:val="single" w:color="auto" w:sz="4" w:space="0"/>
            </w:tcBorders>
            <w:vAlign w:val="center"/>
          </w:tcPr>
          <w:p w14:paraId="3D111ABE">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项目施工方案</w:t>
            </w:r>
          </w:p>
        </w:tc>
        <w:tc>
          <w:tcPr>
            <w:tcW w:w="398" w:type="pct"/>
            <w:tcBorders>
              <w:top w:val="single" w:color="auto" w:sz="4" w:space="0"/>
              <w:left w:val="single" w:color="auto" w:sz="4" w:space="0"/>
              <w:bottom w:val="single" w:color="auto" w:sz="4" w:space="0"/>
              <w:right w:val="single" w:color="auto" w:sz="4" w:space="0"/>
            </w:tcBorders>
            <w:vAlign w:val="center"/>
          </w:tcPr>
          <w:p w14:paraId="0EF62DDC">
            <w:pPr>
              <w:spacing w:line="3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6</w:t>
            </w:r>
          </w:p>
        </w:tc>
        <w:tc>
          <w:tcPr>
            <w:tcW w:w="3494" w:type="pct"/>
            <w:tcBorders>
              <w:top w:val="single" w:color="auto" w:sz="4" w:space="0"/>
              <w:left w:val="nil"/>
              <w:bottom w:val="single" w:color="auto" w:sz="4" w:space="0"/>
              <w:right w:val="single" w:color="auto" w:sz="4" w:space="0"/>
            </w:tcBorders>
            <w:vAlign w:val="center"/>
          </w:tcPr>
          <w:p w14:paraId="66181368">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评标委员会根据投标人的项目施工方案的施工组织方案、施工进度、安装措施等的完整性、响应及处理时间、处理方法和措施等方面综合评审打分：</w:t>
            </w:r>
            <w:r>
              <w:rPr>
                <w:rFonts w:hint="eastAsia" w:asciiTheme="minorEastAsia" w:hAnsiTheme="minorEastAsia" w:eastAsiaTheme="minorEastAsia" w:cstheme="minorEastAsia"/>
                <w:sz w:val="24"/>
                <w:szCs w:val="24"/>
                <w:highlight w:val="none"/>
              </w:rPr>
              <w:t>投标人提供的方案详细完整，可实施性强的得</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分；投标人提供的方案较完整，基本满足项目要求的得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分；投标人提供的项目实施方案简单的得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分；投标人未提供方案不得分。</w:t>
            </w:r>
          </w:p>
        </w:tc>
      </w:tr>
      <w:tr w14:paraId="77EF53FD">
        <w:tblPrEx>
          <w:tblCellMar>
            <w:top w:w="0" w:type="dxa"/>
            <w:left w:w="108" w:type="dxa"/>
            <w:bottom w:w="0" w:type="dxa"/>
            <w:right w:w="108" w:type="dxa"/>
          </w:tblCellMar>
        </w:tblPrEx>
        <w:trPr>
          <w:trHeight w:val="2175" w:hRule="atLeast"/>
        </w:trPr>
        <w:tc>
          <w:tcPr>
            <w:tcW w:w="432" w:type="pct"/>
            <w:tcBorders>
              <w:top w:val="single" w:color="auto" w:sz="4" w:space="0"/>
              <w:left w:val="single" w:color="auto" w:sz="4" w:space="0"/>
              <w:bottom w:val="single" w:color="auto" w:sz="4" w:space="0"/>
              <w:right w:val="single" w:color="auto" w:sz="4" w:space="0"/>
            </w:tcBorders>
            <w:vAlign w:val="center"/>
          </w:tcPr>
          <w:p w14:paraId="470FCFF0">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w:t>
            </w:r>
          </w:p>
        </w:tc>
        <w:tc>
          <w:tcPr>
            <w:tcW w:w="675" w:type="pct"/>
            <w:tcBorders>
              <w:top w:val="single" w:color="auto" w:sz="4" w:space="0"/>
              <w:left w:val="single" w:color="auto" w:sz="4" w:space="0"/>
              <w:bottom w:val="single" w:color="auto" w:sz="4" w:space="0"/>
              <w:right w:val="single" w:color="auto" w:sz="4" w:space="0"/>
            </w:tcBorders>
            <w:vAlign w:val="center"/>
          </w:tcPr>
          <w:p w14:paraId="1E89012D">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项目管理方案</w:t>
            </w:r>
          </w:p>
        </w:tc>
        <w:tc>
          <w:tcPr>
            <w:tcW w:w="398" w:type="pct"/>
            <w:tcBorders>
              <w:top w:val="single" w:color="auto" w:sz="4" w:space="0"/>
              <w:left w:val="single" w:color="auto" w:sz="4" w:space="0"/>
              <w:bottom w:val="single" w:color="auto" w:sz="4" w:space="0"/>
              <w:right w:val="single" w:color="auto" w:sz="4" w:space="0"/>
            </w:tcBorders>
            <w:vAlign w:val="center"/>
          </w:tcPr>
          <w:p w14:paraId="783DE059">
            <w:pPr>
              <w:spacing w:line="3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6</w:t>
            </w:r>
          </w:p>
        </w:tc>
        <w:tc>
          <w:tcPr>
            <w:tcW w:w="3494" w:type="pct"/>
            <w:tcBorders>
              <w:top w:val="single" w:color="auto" w:sz="4" w:space="0"/>
              <w:left w:val="nil"/>
              <w:bottom w:val="single" w:color="auto" w:sz="4" w:space="0"/>
              <w:right w:val="single" w:color="auto" w:sz="4" w:space="0"/>
            </w:tcBorders>
            <w:vAlign w:val="center"/>
          </w:tcPr>
          <w:p w14:paraId="462FBBBE">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评标委员会根据投标人的项目管理方案的安排方案的科学性、合理性等方面综合评审打分：</w:t>
            </w:r>
            <w:r>
              <w:rPr>
                <w:rFonts w:hint="eastAsia" w:asciiTheme="minorEastAsia" w:hAnsiTheme="minorEastAsia" w:eastAsiaTheme="minorEastAsia" w:cstheme="minorEastAsia"/>
                <w:sz w:val="24"/>
                <w:szCs w:val="24"/>
                <w:highlight w:val="none"/>
              </w:rPr>
              <w:t>项目管理架构完整、分工明确、岗位责任制强,项目负责人管理经验丰富能力强,能全面高效地完成本项目的得</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分；项目管理架构基本完整、分工较明确、岗位责任制一般,能较好地完成本项目的得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分；项目管理架构简单,能完成本项目的得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分；项目管理架构未提供不得分。</w:t>
            </w:r>
          </w:p>
        </w:tc>
      </w:tr>
      <w:tr w14:paraId="7CDF3166">
        <w:tblPrEx>
          <w:tblCellMar>
            <w:top w:w="0" w:type="dxa"/>
            <w:left w:w="108" w:type="dxa"/>
            <w:bottom w:w="0" w:type="dxa"/>
            <w:right w:w="108" w:type="dxa"/>
          </w:tblCellMar>
        </w:tblPrEx>
        <w:trPr>
          <w:trHeight w:val="1650" w:hRule="atLeast"/>
        </w:trPr>
        <w:tc>
          <w:tcPr>
            <w:tcW w:w="432" w:type="pct"/>
            <w:tcBorders>
              <w:top w:val="single" w:color="auto" w:sz="4" w:space="0"/>
              <w:left w:val="single" w:color="auto" w:sz="4" w:space="0"/>
              <w:bottom w:val="single" w:color="auto" w:sz="4" w:space="0"/>
              <w:right w:val="single" w:color="auto" w:sz="4" w:space="0"/>
            </w:tcBorders>
            <w:vAlign w:val="center"/>
          </w:tcPr>
          <w:p w14:paraId="34CF80A4">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w:t>
            </w:r>
          </w:p>
        </w:tc>
        <w:tc>
          <w:tcPr>
            <w:tcW w:w="675" w:type="pct"/>
            <w:tcBorders>
              <w:top w:val="single" w:color="auto" w:sz="4" w:space="0"/>
              <w:left w:val="single" w:color="auto" w:sz="4" w:space="0"/>
              <w:bottom w:val="single" w:color="auto" w:sz="4" w:space="0"/>
              <w:right w:val="single" w:color="auto" w:sz="4" w:space="0"/>
            </w:tcBorders>
            <w:vAlign w:val="center"/>
          </w:tcPr>
          <w:p w14:paraId="36C36CB5">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应急服务方案</w:t>
            </w:r>
          </w:p>
        </w:tc>
        <w:tc>
          <w:tcPr>
            <w:tcW w:w="398" w:type="pct"/>
            <w:tcBorders>
              <w:top w:val="single" w:color="auto" w:sz="4" w:space="0"/>
              <w:left w:val="single" w:color="auto" w:sz="4" w:space="0"/>
              <w:bottom w:val="single" w:color="auto" w:sz="4" w:space="0"/>
              <w:right w:val="single" w:color="auto" w:sz="4" w:space="0"/>
            </w:tcBorders>
            <w:vAlign w:val="center"/>
          </w:tcPr>
          <w:p w14:paraId="3FDABD53">
            <w:pPr>
              <w:spacing w:line="3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6</w:t>
            </w:r>
          </w:p>
        </w:tc>
        <w:tc>
          <w:tcPr>
            <w:tcW w:w="3494" w:type="pct"/>
            <w:tcBorders>
              <w:top w:val="single" w:color="auto" w:sz="4" w:space="0"/>
              <w:left w:val="nil"/>
              <w:bottom w:val="single" w:color="auto" w:sz="4" w:space="0"/>
              <w:right w:val="single" w:color="auto" w:sz="4" w:space="0"/>
            </w:tcBorders>
            <w:vAlign w:val="center"/>
          </w:tcPr>
          <w:p w14:paraId="06E4A454">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评标委员会根据投标人针对本项目拟定的应急服务方案、安全责任等因素综合评审打分：</w:t>
            </w:r>
            <w:r>
              <w:rPr>
                <w:rFonts w:hint="eastAsia" w:asciiTheme="minorEastAsia" w:hAnsiTheme="minorEastAsia" w:eastAsiaTheme="minorEastAsia" w:cstheme="minorEastAsia"/>
                <w:sz w:val="24"/>
                <w:szCs w:val="24"/>
                <w:highlight w:val="none"/>
              </w:rPr>
              <w:t>方案详细，对项目的应急处理全面到位的得</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rPr>
              <w:t>；方案较详细，对项目的应急处理一般的得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分；方案一般，应急处理简单的得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分。方案未提供不得分。</w:t>
            </w:r>
          </w:p>
        </w:tc>
      </w:tr>
      <w:tr w14:paraId="4B017265">
        <w:tblPrEx>
          <w:tblCellMar>
            <w:top w:w="0" w:type="dxa"/>
            <w:left w:w="108" w:type="dxa"/>
            <w:bottom w:w="0" w:type="dxa"/>
            <w:right w:w="108" w:type="dxa"/>
          </w:tblCellMar>
        </w:tblPrEx>
        <w:trPr>
          <w:trHeight w:val="1235" w:hRule="atLeast"/>
        </w:trPr>
        <w:tc>
          <w:tcPr>
            <w:tcW w:w="432" w:type="pct"/>
            <w:tcBorders>
              <w:top w:val="single" w:color="auto" w:sz="4" w:space="0"/>
              <w:left w:val="single" w:color="auto" w:sz="4" w:space="0"/>
              <w:bottom w:val="single" w:color="auto" w:sz="4" w:space="0"/>
              <w:right w:val="single" w:color="auto" w:sz="4" w:space="0"/>
            </w:tcBorders>
            <w:vAlign w:val="center"/>
          </w:tcPr>
          <w:p w14:paraId="4224E86E">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w:t>
            </w:r>
          </w:p>
        </w:tc>
        <w:tc>
          <w:tcPr>
            <w:tcW w:w="675" w:type="pct"/>
            <w:tcBorders>
              <w:top w:val="single" w:color="auto" w:sz="4" w:space="0"/>
              <w:left w:val="single" w:color="auto" w:sz="4" w:space="0"/>
              <w:bottom w:val="single" w:color="auto" w:sz="4" w:space="0"/>
              <w:right w:val="single" w:color="auto" w:sz="4" w:space="0"/>
            </w:tcBorders>
            <w:vAlign w:val="center"/>
          </w:tcPr>
          <w:p w14:paraId="5917B4FD">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非宿舍区域公共部位开水器维护保养方案</w:t>
            </w:r>
          </w:p>
        </w:tc>
        <w:tc>
          <w:tcPr>
            <w:tcW w:w="398" w:type="pct"/>
            <w:tcBorders>
              <w:top w:val="single" w:color="auto" w:sz="4" w:space="0"/>
              <w:left w:val="single" w:color="auto" w:sz="4" w:space="0"/>
              <w:bottom w:val="single" w:color="auto" w:sz="4" w:space="0"/>
              <w:right w:val="single" w:color="auto" w:sz="4" w:space="0"/>
            </w:tcBorders>
            <w:vAlign w:val="center"/>
          </w:tcPr>
          <w:p w14:paraId="18BAF9C0">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w:t>
            </w:r>
          </w:p>
        </w:tc>
        <w:tc>
          <w:tcPr>
            <w:tcW w:w="3494" w:type="pct"/>
            <w:tcBorders>
              <w:top w:val="nil"/>
              <w:left w:val="nil"/>
              <w:bottom w:val="single" w:color="auto" w:sz="4" w:space="0"/>
              <w:right w:val="single" w:color="auto" w:sz="4" w:space="0"/>
            </w:tcBorders>
            <w:vAlign w:val="center"/>
          </w:tcPr>
          <w:p w14:paraId="60CAD11B">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评标委员会根据投标人的非宿舍区域公共部位开水器维护保养方案综合评审打分：：</w:t>
            </w:r>
            <w:r>
              <w:rPr>
                <w:rFonts w:hint="eastAsia" w:asciiTheme="minorEastAsia" w:hAnsiTheme="minorEastAsia" w:eastAsiaTheme="minorEastAsia" w:cstheme="minorEastAsia"/>
                <w:sz w:val="24"/>
                <w:szCs w:val="24"/>
                <w:highlight w:val="none"/>
              </w:rPr>
              <w:t>方案完整合理，可行性高的得5分；方案较为完整合理，可行性较高的得3分；方案不够完整合理，可行性较低的得1分；未提供不得分。</w:t>
            </w:r>
          </w:p>
        </w:tc>
      </w:tr>
      <w:tr w14:paraId="197AF5D6">
        <w:tblPrEx>
          <w:tblCellMar>
            <w:top w:w="0" w:type="dxa"/>
            <w:left w:w="108" w:type="dxa"/>
            <w:bottom w:w="0" w:type="dxa"/>
            <w:right w:w="108" w:type="dxa"/>
          </w:tblCellMar>
        </w:tblPrEx>
        <w:trPr>
          <w:trHeight w:val="1965" w:hRule="atLeast"/>
        </w:trPr>
        <w:tc>
          <w:tcPr>
            <w:tcW w:w="432" w:type="pct"/>
            <w:tcBorders>
              <w:top w:val="single" w:color="auto" w:sz="4" w:space="0"/>
              <w:left w:val="single" w:color="auto" w:sz="4" w:space="0"/>
              <w:bottom w:val="single" w:color="auto" w:sz="4" w:space="0"/>
              <w:right w:val="single" w:color="auto" w:sz="4" w:space="0"/>
            </w:tcBorders>
            <w:vAlign w:val="center"/>
          </w:tcPr>
          <w:p w14:paraId="292EB300">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w:t>
            </w:r>
          </w:p>
        </w:tc>
        <w:tc>
          <w:tcPr>
            <w:tcW w:w="675" w:type="pct"/>
            <w:tcBorders>
              <w:top w:val="single" w:color="auto" w:sz="4" w:space="0"/>
              <w:left w:val="single" w:color="auto" w:sz="4" w:space="0"/>
              <w:bottom w:val="single" w:color="auto" w:sz="4" w:space="0"/>
              <w:right w:val="single" w:color="auto" w:sz="4" w:space="0"/>
            </w:tcBorders>
            <w:vAlign w:val="center"/>
          </w:tcPr>
          <w:p w14:paraId="2049691C">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售后服务方案</w:t>
            </w:r>
          </w:p>
        </w:tc>
        <w:tc>
          <w:tcPr>
            <w:tcW w:w="398" w:type="pct"/>
            <w:tcBorders>
              <w:top w:val="single" w:color="auto" w:sz="4" w:space="0"/>
              <w:left w:val="single" w:color="auto" w:sz="4" w:space="0"/>
              <w:bottom w:val="single" w:color="auto" w:sz="4" w:space="0"/>
              <w:right w:val="single" w:color="auto" w:sz="4" w:space="0"/>
            </w:tcBorders>
            <w:vAlign w:val="center"/>
          </w:tcPr>
          <w:p w14:paraId="2C70502E">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w:t>
            </w:r>
          </w:p>
        </w:tc>
        <w:tc>
          <w:tcPr>
            <w:tcW w:w="3494" w:type="pct"/>
            <w:tcBorders>
              <w:top w:val="single" w:color="auto" w:sz="4" w:space="0"/>
              <w:left w:val="nil"/>
              <w:bottom w:val="single" w:color="auto" w:sz="4" w:space="0"/>
              <w:right w:val="single" w:color="auto" w:sz="4" w:space="0"/>
            </w:tcBorders>
            <w:vAlign w:val="center"/>
          </w:tcPr>
          <w:p w14:paraId="1442EDDF">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评标委员会根据投标人制定的售后服务方案综合评审打分：：</w:t>
            </w:r>
            <w:r>
              <w:rPr>
                <w:rFonts w:hint="eastAsia" w:asciiTheme="minorEastAsia" w:hAnsiTheme="minorEastAsia" w:eastAsiaTheme="minorEastAsia" w:cstheme="minorEastAsia"/>
                <w:sz w:val="24"/>
                <w:szCs w:val="24"/>
                <w:highlight w:val="none"/>
              </w:rPr>
              <w:t>服务方案详细可行，能为用户提供完善的维护维修和技术保障服务的得8分；服务方案详尽全面且能为用户提供一定合理性维护维修和技术保障服务的得6分；服务方案简单，仅能为用户提供有限的售后服务的得4分；未提供不得分。</w:t>
            </w:r>
          </w:p>
        </w:tc>
      </w:tr>
      <w:tr w14:paraId="617C442E">
        <w:tblPrEx>
          <w:tblCellMar>
            <w:top w:w="0" w:type="dxa"/>
            <w:left w:w="108" w:type="dxa"/>
            <w:bottom w:w="0" w:type="dxa"/>
            <w:right w:w="108" w:type="dxa"/>
          </w:tblCellMar>
        </w:tblPrEx>
        <w:trPr>
          <w:trHeight w:val="930" w:hRule="atLeast"/>
        </w:trPr>
        <w:tc>
          <w:tcPr>
            <w:tcW w:w="432" w:type="pct"/>
            <w:tcBorders>
              <w:top w:val="single" w:color="auto" w:sz="4" w:space="0"/>
              <w:left w:val="single" w:color="auto" w:sz="4" w:space="0"/>
              <w:bottom w:val="single" w:color="auto" w:sz="4" w:space="0"/>
              <w:right w:val="single" w:color="auto" w:sz="4" w:space="0"/>
            </w:tcBorders>
            <w:vAlign w:val="center"/>
          </w:tcPr>
          <w:p w14:paraId="3D55B51B">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w:t>
            </w:r>
          </w:p>
        </w:tc>
        <w:tc>
          <w:tcPr>
            <w:tcW w:w="675" w:type="pct"/>
            <w:tcBorders>
              <w:top w:val="single" w:color="auto" w:sz="4" w:space="0"/>
              <w:left w:val="single" w:color="auto" w:sz="4" w:space="0"/>
              <w:bottom w:val="single" w:color="auto" w:sz="4" w:space="0"/>
              <w:right w:val="single" w:color="auto" w:sz="4" w:space="0"/>
            </w:tcBorders>
            <w:vAlign w:val="center"/>
          </w:tcPr>
          <w:p w14:paraId="1C3BA07E">
            <w:pPr>
              <w:widowControl/>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增值服务承诺</w:t>
            </w:r>
          </w:p>
        </w:tc>
        <w:tc>
          <w:tcPr>
            <w:tcW w:w="398" w:type="pct"/>
            <w:tcBorders>
              <w:top w:val="single" w:color="auto" w:sz="4" w:space="0"/>
              <w:left w:val="single" w:color="auto" w:sz="4" w:space="0"/>
              <w:bottom w:val="single" w:color="auto" w:sz="4" w:space="0"/>
              <w:right w:val="single" w:color="auto" w:sz="4" w:space="0"/>
            </w:tcBorders>
            <w:vAlign w:val="center"/>
          </w:tcPr>
          <w:p w14:paraId="0969AFAC">
            <w:pPr>
              <w:widowControl/>
              <w:spacing w:line="340" w:lineRule="exact"/>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3494" w:type="pct"/>
            <w:tcBorders>
              <w:top w:val="single" w:color="auto" w:sz="4" w:space="0"/>
              <w:left w:val="nil"/>
              <w:bottom w:val="single" w:color="auto" w:sz="4" w:space="0"/>
              <w:right w:val="single" w:color="auto" w:sz="4" w:space="0"/>
            </w:tcBorders>
            <w:vAlign w:val="center"/>
          </w:tcPr>
          <w:p w14:paraId="48247B8A">
            <w:pPr>
              <w:spacing w:line="3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投标人承诺在满足招标文件要求的基础上提供其他增项服务经评标委员会一致认可的，每一项得1分，最高2分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rPr>
              <w:t>投标文件中提供服务承诺加盖投标人公章。</w:t>
            </w:r>
          </w:p>
        </w:tc>
      </w:tr>
    </w:tbl>
    <w:p w14:paraId="54424591">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注：</w:t>
      </w:r>
    </w:p>
    <w:p w14:paraId="0D73B57A">
      <w:pPr>
        <w:spacing w:line="400" w:lineRule="exact"/>
        <w:ind w:firstLine="480" w:firstLineChars="200"/>
        <w:rPr>
          <w:rFonts w:ascii="宋体" w:hAnsi="宋体" w:cs="宋体"/>
          <w:bCs/>
          <w:sz w:val="24"/>
          <w:highlight w:val="none"/>
        </w:rPr>
      </w:pPr>
      <w:r>
        <w:rPr>
          <w:rFonts w:hint="eastAsia" w:ascii="宋体" w:hAnsi="宋体" w:cs="宋体"/>
          <w:bCs/>
          <w:sz w:val="24"/>
          <w:highlight w:val="none"/>
        </w:rPr>
        <w:t>1.评标标准中要求提供的证明文件及资料等在投标文件中提供复印件，</w:t>
      </w:r>
      <w:r>
        <w:rPr>
          <w:rFonts w:hint="eastAsia" w:ascii="宋体" w:hAnsi="宋体" w:cs="宋体"/>
          <w:b/>
          <w:bCs/>
          <w:sz w:val="24"/>
          <w:highlight w:val="none"/>
        </w:rPr>
        <w:t>复印件须加盖投标人公章，且复印件内容应清晰可辨，如因复印件内容不清晰、不完整造成的扣分或废标等一切后果由投标人自行承担。</w:t>
      </w:r>
    </w:p>
    <w:p w14:paraId="2B05CF15">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2.技术部分相关技术指标、产品性能以投标文件中提供的相关证明材料为准。如出现造假等不符合实际的情况，将作为无效投标处理，并追究投标人相关法律责任。</w:t>
      </w:r>
    </w:p>
    <w:p w14:paraId="18E6103A">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3.未能按以上要求提供相应证明的，不作为评审依据，不得分。</w:t>
      </w:r>
    </w:p>
    <w:p w14:paraId="4D09525E">
      <w:pPr>
        <w:spacing w:line="400" w:lineRule="exact"/>
        <w:ind w:firstLine="480" w:firstLineChars="200"/>
        <w:jc w:val="left"/>
        <w:rPr>
          <w:rFonts w:ascii="宋体" w:hAnsi="宋体" w:cs="宋体"/>
          <w:b/>
          <w:bCs/>
          <w:sz w:val="24"/>
          <w:highlight w:val="none"/>
        </w:rPr>
      </w:pPr>
      <w:r>
        <w:rPr>
          <w:rFonts w:hint="eastAsia" w:ascii="宋体" w:hAnsi="宋体" w:cs="宋体"/>
          <w:bCs/>
          <w:sz w:val="24"/>
          <w:highlight w:val="none"/>
        </w:rPr>
        <w:t>4.为便于评分，请投标人按评分表样式，逐条列出证明材料所在页码并编制评分索引表，格式自定。</w:t>
      </w:r>
    </w:p>
    <w:p w14:paraId="0871531D">
      <w:pPr>
        <w:pStyle w:val="5"/>
        <w:rPr>
          <w:rFonts w:ascii="宋体" w:hAnsi="宋体" w:cs="宋体"/>
          <w:color w:val="auto"/>
          <w:highlight w:val="none"/>
        </w:rPr>
      </w:pPr>
    </w:p>
    <w:p w14:paraId="2BB1AC1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7725"/>
    <w:multiLevelType w:val="singleLevel"/>
    <w:tmpl w:val="B1977725"/>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516AD"/>
    <w:rsid w:val="1D324929"/>
    <w:rsid w:val="3A563FC1"/>
    <w:rsid w:val="59E367FC"/>
    <w:rsid w:val="5AF9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
    <w:name w:val="Default"/>
    <w:basedOn w:val="6"/>
    <w:qFormat/>
    <w:uiPriority w:val="0"/>
    <w:pPr>
      <w:autoSpaceDE w:val="0"/>
      <w:autoSpaceDN w:val="0"/>
      <w:adjustRightInd w:val="0"/>
    </w:pPr>
    <w:rPr>
      <w:color w:val="000000"/>
      <w:sz w:val="24"/>
      <w:szCs w:val="24"/>
    </w:rPr>
  </w:style>
  <w:style w:type="paragraph" w:customStyle="1" w:styleId="6">
    <w:name w:val="正文_2"/>
    <w:next w:val="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Plain Text2"/>
    <w:basedOn w:val="8"/>
    <w:autoRedefine/>
    <w:qFormat/>
    <w:uiPriority w:val="0"/>
    <w:rPr>
      <w:rFonts w:ascii="宋体" w:hAnsi="Courier New" w:cs="Courier New"/>
      <w:szCs w:val="21"/>
    </w:rPr>
  </w:style>
  <w:style w:type="paragraph" w:customStyle="1" w:styleId="8">
    <w:name w:val="正文_1_0_0"/>
    <w:basedOn w:val="9"/>
    <w:next w:val="7"/>
    <w:autoRedefine/>
    <w:qFormat/>
    <w:uiPriority w:val="0"/>
  </w:style>
  <w:style w:type="paragraph" w:customStyle="1" w:styleId="9">
    <w:name w:val="正文_1_0"/>
    <w:basedOn w:val="10"/>
    <w:next w:val="7"/>
    <w:autoRedefine/>
    <w:qFormat/>
    <w:uiPriority w:val="0"/>
    <w:rPr>
      <w:rFonts w:cs="Times New Roman"/>
      <w:szCs w:val="22"/>
    </w:rPr>
  </w:style>
  <w:style w:type="paragraph" w:customStyle="1" w:styleId="10">
    <w:name w:val="正文_1"/>
    <w:next w:val="11"/>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1">
    <w:name w:val="Plain Text1"/>
    <w:basedOn w:val="1"/>
    <w:qFormat/>
    <w:uiPriority w:val="99"/>
    <w:pPr>
      <w:widowControl/>
      <w:adjustRightInd w:val="0"/>
      <w:jc w:val="left"/>
    </w:pPr>
    <w:rPr>
      <w:rFonts w:ascii="宋体" w:hAnsi="Courier New" w:eastAsia="楷体_GB2312"/>
      <w:kern w:val="0"/>
      <w:sz w:val="2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1564</Words>
  <Characters>1607</Characters>
  <Lines>0</Lines>
  <Paragraphs>0</Paragraphs>
  <TotalTime>2</TotalTime>
  <ScaleCrop>false</ScaleCrop>
  <LinksUpToDate>false</LinksUpToDate>
  <CharactersWithSpaces>1611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2026-06-08T07:37:00Z</dcterms:created>
  <dc:creator>Administrator</dc:creator>
  <cp:lastModifiedBy>润邦招标</cp:lastModifiedBy>
  <dcterms:modified xsi:type="dcterms:W3CDTF">2026-06-08T07:48:33Z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eyJoZGlkIjoiNTJmZWVlOWZjYzk3Y2FmZTNjMTgxNzc0MjhlMWI0YWMiLCJ1c2VySWQiOiIyODkwNTYwODEifQ==</vt:lpwstr>
  </property>
  <property fmtid="{D5CDD505-2E9C-101B-9397-08002B2CF9AE}" pid="4" name="ICV">
    <vt:lpwstr>DDF9668A1BD74AF89C0154DB5E44FD8E_12</vt:lpwstr>
  </property>
</Properties>
</file>